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E27" w:rsidP="006228BC" w:rsidRDefault="00371E27" w14:paraId="7D5CABE6" w14:textId="77777777">
      <w:pPr>
        <w:jc w:val="center"/>
        <w:rPr>
          <w:rFonts w:ascii="Segoe UI" w:hAnsi="Segoe UI" w:cs="Segoe UI"/>
          <w:b/>
          <w:bCs/>
        </w:rPr>
      </w:pPr>
    </w:p>
    <w:p w:rsidRPr="005B1A7F" w:rsidR="006228BC" w:rsidP="006228BC" w:rsidRDefault="006228BC" w14:paraId="7E17A484" w14:textId="6B177126">
      <w:pPr>
        <w:jc w:val="center"/>
        <w:rPr>
          <w:rFonts w:ascii="Segoe UI" w:hAnsi="Segoe UI" w:cs="Segoe UI"/>
          <w:b/>
          <w:bCs/>
        </w:rPr>
      </w:pPr>
      <w:r w:rsidRPr="005B1A7F">
        <w:rPr>
          <w:rFonts w:ascii="Segoe UI" w:hAnsi="Segoe UI" w:cs="Segoe UI"/>
          <w:b/>
          <w:bCs/>
        </w:rPr>
        <w:t>Organic Farm Knowledge</w:t>
      </w:r>
      <w:r w:rsidRPr="005B1A7F">
        <w:rPr>
          <w:rFonts w:ascii="Segoe UI" w:hAnsi="Segoe UI" w:cs="Segoe UI"/>
        </w:rPr>
        <w:t xml:space="preserve"> </w:t>
      </w:r>
      <w:r w:rsidRPr="005B1A7F">
        <w:rPr>
          <w:rFonts w:ascii="Segoe UI" w:hAnsi="Segoe UI" w:cs="Segoe UI"/>
          <w:b/>
          <w:bCs/>
        </w:rPr>
        <w:t>– Online hub for European organic farmers and advisors</w:t>
      </w:r>
    </w:p>
    <w:p w:rsidRPr="005B1A7F" w:rsidR="0046342C" w:rsidP="005B1A7F" w:rsidRDefault="0046342C" w14:paraId="6383FDAF" w14:textId="2037F306">
      <w:pPr>
        <w:jc w:val="center"/>
        <w:rPr>
          <w:rFonts w:ascii="Segoe UI" w:hAnsi="Segoe UI" w:cs="Segoe UI"/>
          <w:i/>
          <w:iCs/>
          <w:sz w:val="20"/>
          <w:szCs w:val="20"/>
        </w:rPr>
      </w:pPr>
      <w:r w:rsidRPr="005B1A7F">
        <w:rPr>
          <w:rFonts w:ascii="Segoe UI" w:hAnsi="Segoe UI" w:cs="Segoe UI"/>
          <w:i/>
          <w:iCs/>
          <w:sz w:val="20"/>
          <w:szCs w:val="20"/>
        </w:rPr>
        <w:t>Joining the Editorial Board</w:t>
      </w:r>
    </w:p>
    <w:p w:rsidRPr="005B1A7F" w:rsidR="001C274F" w:rsidP="006228BC" w:rsidRDefault="001C274F" w14:paraId="101FF5F6" w14:textId="77777777">
      <w:pPr>
        <w:contextualSpacing/>
        <w:rPr>
          <w:rFonts w:ascii="Segoe UI" w:hAnsi="Segoe UI" w:cs="Segoe UI"/>
          <w:i/>
          <w:iCs/>
        </w:rPr>
      </w:pPr>
    </w:p>
    <w:p w:rsidRPr="005B1A7F" w:rsidR="006228BC" w:rsidP="005B1A7F" w:rsidRDefault="006228BC" w14:paraId="1B4EDCC3" w14:textId="5D2CB3F5">
      <w:pPr>
        <w:contextualSpacing/>
        <w:jc w:val="both"/>
        <w:rPr>
          <w:rFonts w:ascii="Segoe UI" w:hAnsi="Segoe UI" w:cs="Segoe UI"/>
          <w:b/>
          <w:bCs/>
          <w:sz w:val="20"/>
          <w:szCs w:val="20"/>
        </w:rPr>
      </w:pPr>
      <w:r w:rsidRPr="005B1A7F">
        <w:rPr>
          <w:rFonts w:ascii="Segoe UI" w:hAnsi="Segoe UI" w:cs="Segoe UI"/>
          <w:b/>
          <w:bCs/>
          <w:sz w:val="20"/>
          <w:szCs w:val="20"/>
        </w:rPr>
        <w:t>Background</w:t>
      </w:r>
    </w:p>
    <w:p w:rsidR="006228BC" w:rsidP="005B1A7F" w:rsidRDefault="006228BC" w14:paraId="3B77F4B7" w14:textId="45357A9E">
      <w:pPr>
        <w:jc w:val="both"/>
        <w:rPr>
          <w:rFonts w:ascii="Segoe UI" w:hAnsi="Segoe UI" w:cs="Segoe UI"/>
          <w:sz w:val="20"/>
          <w:szCs w:val="20"/>
        </w:rPr>
      </w:pPr>
      <w:r w:rsidRPr="005B1A7F">
        <w:rPr>
          <w:rFonts w:ascii="Segoe UI" w:hAnsi="Segoe UI" w:cs="Segoe UI"/>
          <w:sz w:val="20"/>
          <w:szCs w:val="20"/>
        </w:rPr>
        <w:t>Farmers are increasingly looking for more sustainable farming practices such as organic</w:t>
      </w:r>
      <w:r w:rsidRPr="005B1A7F">
        <w:rPr>
          <w:rFonts w:ascii="Segoe UI" w:hAnsi="Segoe UI" w:cs="Segoe UI"/>
          <w:sz w:val="20"/>
          <w:szCs w:val="20"/>
          <w:vertAlign w:val="superscript"/>
        </w:rPr>
        <w:footnoteReference w:id="1"/>
      </w:r>
      <w:r w:rsidRPr="005B1A7F">
        <w:rPr>
          <w:rFonts w:ascii="Segoe UI" w:hAnsi="Segoe UI" w:cs="Segoe UI"/>
          <w:sz w:val="20"/>
          <w:szCs w:val="20"/>
        </w:rPr>
        <w:t>. The European Commission recognises the potential of organic farming and has set forth the target of achieving at least 25% organic farmland in the EU by 2030 in its Farm to Fork strategy as part of the European Green Deal</w:t>
      </w:r>
      <w:r w:rsidRPr="005B1A7F">
        <w:rPr>
          <w:rFonts w:ascii="Segoe UI" w:hAnsi="Segoe UI" w:cs="Segoe UI"/>
          <w:sz w:val="20"/>
          <w:szCs w:val="20"/>
          <w:vertAlign w:val="superscript"/>
        </w:rPr>
        <w:footnoteReference w:id="2"/>
      </w:r>
      <w:r w:rsidRPr="005B1A7F">
        <w:rPr>
          <w:rFonts w:ascii="Segoe UI" w:hAnsi="Segoe UI" w:cs="Segoe UI"/>
          <w:sz w:val="20"/>
          <w:szCs w:val="20"/>
        </w:rPr>
        <w:t>. To leverage research to achieve this target, the new EU Organic Action Plan</w:t>
      </w:r>
      <w:r w:rsidRPr="005B1A7F">
        <w:rPr>
          <w:rStyle w:val="FootnoteReference"/>
          <w:rFonts w:ascii="Segoe UI" w:hAnsi="Segoe UI" w:cs="Segoe UI"/>
          <w:sz w:val="20"/>
          <w:szCs w:val="20"/>
        </w:rPr>
        <w:footnoteReference w:id="3"/>
      </w:r>
      <w:r w:rsidRPr="005B1A7F">
        <w:rPr>
          <w:rFonts w:ascii="Segoe UI" w:hAnsi="Segoe UI" w:cs="Segoe UI"/>
          <w:sz w:val="20"/>
          <w:szCs w:val="20"/>
        </w:rPr>
        <w:t xml:space="preserve"> pledges to allocate at least 30% of the budget for research and innovation (R&amp;I) in the field of agriculture, forestry, and rural areas</w:t>
      </w:r>
      <w:r w:rsidRPr="005B1A7F">
        <w:rPr>
          <w:rStyle w:val="FootnoteReference"/>
          <w:rFonts w:ascii="Segoe UI" w:hAnsi="Segoe UI" w:cs="Segoe UI"/>
          <w:sz w:val="20"/>
          <w:szCs w:val="20"/>
        </w:rPr>
        <w:footnoteReference w:id="4"/>
      </w:r>
      <w:r w:rsidRPr="005B1A7F">
        <w:rPr>
          <w:rFonts w:ascii="Segoe UI" w:hAnsi="Segoe UI" w:cs="Segoe UI"/>
          <w:sz w:val="20"/>
          <w:szCs w:val="20"/>
        </w:rPr>
        <w:t xml:space="preserve"> to topics specific to or relevant for the organic sector. This is crucial since organic farming systems rely on knowledge rather than external inputs</w:t>
      </w:r>
    </w:p>
    <w:p w:rsidRPr="005B1A7F" w:rsidR="005871F4" w:rsidP="005B1A7F" w:rsidRDefault="005871F4" w14:paraId="2FADC9E1" w14:textId="77777777">
      <w:pPr>
        <w:jc w:val="both"/>
        <w:rPr>
          <w:rFonts w:ascii="Segoe UI" w:hAnsi="Segoe UI" w:cs="Segoe UI"/>
          <w:sz w:val="20"/>
          <w:szCs w:val="20"/>
        </w:rPr>
      </w:pPr>
    </w:p>
    <w:p w:rsidRPr="005B1A7F" w:rsidR="006228BC" w:rsidP="005B1A7F" w:rsidRDefault="006228BC" w14:paraId="78F9CFF5" w14:textId="5BB043E8">
      <w:pPr>
        <w:contextualSpacing/>
        <w:jc w:val="both"/>
        <w:rPr>
          <w:rFonts w:ascii="Segoe UI" w:hAnsi="Segoe UI" w:cs="Segoe UI"/>
          <w:b/>
          <w:bCs/>
          <w:sz w:val="20"/>
          <w:szCs w:val="20"/>
        </w:rPr>
      </w:pPr>
      <w:r w:rsidRPr="005B1A7F">
        <w:rPr>
          <w:rFonts w:ascii="Segoe UI" w:hAnsi="Segoe UI" w:cs="Segoe UI"/>
          <w:b/>
          <w:bCs/>
          <w:sz w:val="20"/>
          <w:szCs w:val="20"/>
        </w:rPr>
        <w:t>Organic Farm Knowledge – Practical tools &amp; knowledge exchange to enhance organic farming</w:t>
      </w:r>
    </w:p>
    <w:p w:rsidR="00EF0C4F" w:rsidP="005B1A7F" w:rsidRDefault="00371E27" w14:paraId="714D6261" w14:textId="479DF3EE">
      <w:pPr>
        <w:jc w:val="both"/>
        <w:rPr>
          <w:rFonts w:ascii="Segoe UI" w:hAnsi="Segoe UI" w:cs="Segoe UI"/>
          <w:sz w:val="20"/>
          <w:szCs w:val="20"/>
        </w:rPr>
      </w:pPr>
      <w:hyperlink w:history="1" r:id="rId6">
        <w:r w:rsidRPr="005B1A7F" w:rsidR="00743BD5">
          <w:rPr>
            <w:rStyle w:val="Hyperlink"/>
            <w:rFonts w:ascii="Segoe UI" w:hAnsi="Segoe UI" w:cs="Segoe UI"/>
            <w:color w:val="auto"/>
            <w:sz w:val="20"/>
            <w:szCs w:val="20"/>
          </w:rPr>
          <w:t>Organic Farm Knowledge</w:t>
        </w:r>
      </w:hyperlink>
      <w:r w:rsidRPr="005B1A7F" w:rsidR="00743BD5">
        <w:rPr>
          <w:rFonts w:ascii="Segoe UI" w:hAnsi="Segoe UI" w:cs="Segoe UI"/>
          <w:sz w:val="20"/>
          <w:szCs w:val="20"/>
        </w:rPr>
        <w:t xml:space="preserve"> is on its way to becoming the European reference hub for practical knowledge on organic farming. Providing access to a wide range of organic farming tools and resources, the platform also aims to serve as a virtual meeting place for cross-border learning and promote knowledge exchange between farmers, farm advisors and scientists to increase the productivity and quality of organic farming across Europe.  By bringing together all practice-based materials</w:t>
      </w:r>
      <w:r w:rsidRPr="005B1A7F" w:rsidR="00A5698C">
        <w:rPr>
          <w:rFonts w:ascii="Segoe UI" w:hAnsi="Segoe UI" w:cs="Segoe UI"/>
          <w:sz w:val="20"/>
          <w:szCs w:val="20"/>
        </w:rPr>
        <w:t xml:space="preserve"> such as factsheets, guides, calculation tools, and videos</w:t>
      </w:r>
      <w:r w:rsidRPr="005B1A7F" w:rsidR="00743BD5">
        <w:rPr>
          <w:rFonts w:ascii="Segoe UI" w:hAnsi="Segoe UI" w:cs="Segoe UI"/>
          <w:sz w:val="20"/>
          <w:szCs w:val="20"/>
        </w:rPr>
        <w:t xml:space="preserve"> in one place, </w:t>
      </w:r>
      <w:r w:rsidRPr="005B1A7F" w:rsidR="004C5505">
        <w:rPr>
          <w:rFonts w:ascii="Segoe UI" w:hAnsi="Segoe UI" w:cs="Segoe UI"/>
          <w:sz w:val="20"/>
          <w:szCs w:val="20"/>
        </w:rPr>
        <w:t>the platform</w:t>
      </w:r>
      <w:r w:rsidRPr="005B1A7F" w:rsidR="00743BD5">
        <w:rPr>
          <w:rFonts w:ascii="Segoe UI" w:hAnsi="Segoe UI" w:cs="Segoe UI"/>
          <w:sz w:val="20"/>
          <w:szCs w:val="20"/>
        </w:rPr>
        <w:t xml:space="preserve"> helps both organic and conventional farmers to improve their practices and provides an ideal solution to find relevant information quickly. By allowing users to comment, discuss and interact on social media, Organic Farm Knowledge helps farmers and advisors become more innovative. Organic Farm Knowledge clearly fills a need among organic farmers and extension workers, evidenced by the ever-growing number of visitors.</w:t>
      </w:r>
    </w:p>
    <w:p w:rsidRPr="005B1A7F" w:rsidR="005871F4" w:rsidP="005B1A7F" w:rsidRDefault="005871F4" w14:paraId="11A3CC21" w14:textId="77777777">
      <w:pPr>
        <w:jc w:val="both"/>
        <w:rPr>
          <w:rFonts w:ascii="Segoe UI" w:hAnsi="Segoe UI" w:cs="Segoe UI"/>
          <w:sz w:val="20"/>
          <w:szCs w:val="20"/>
        </w:rPr>
      </w:pPr>
    </w:p>
    <w:p w:rsidR="005871F4" w:rsidP="005871F4" w:rsidRDefault="00743BD5" w14:paraId="57694AA8" w14:textId="77777777">
      <w:pPr>
        <w:spacing w:after="0"/>
        <w:jc w:val="both"/>
        <w:rPr>
          <w:rFonts w:ascii="Segoe UI" w:hAnsi="Segoe UI" w:cs="Segoe UI"/>
          <w:b/>
          <w:bCs/>
          <w:sz w:val="20"/>
          <w:szCs w:val="20"/>
        </w:rPr>
      </w:pPr>
      <w:r w:rsidRPr="005B1A7F">
        <w:rPr>
          <w:rFonts w:ascii="Segoe UI" w:hAnsi="Segoe UI" w:cs="Segoe UI"/>
          <w:b/>
          <w:bCs/>
          <w:sz w:val="20"/>
          <w:szCs w:val="20"/>
        </w:rPr>
        <w:t>Responsibilities of members of the Editorial Board</w:t>
      </w:r>
    </w:p>
    <w:p w:rsidRPr="005871F4" w:rsidR="0032692D" w:rsidP="005871F4" w:rsidRDefault="0032692D" w14:paraId="06F915C7" w14:textId="2EFDBDDB" w14:noSpellErr="1">
      <w:pPr>
        <w:spacing w:after="0"/>
        <w:jc w:val="both"/>
        <w:rPr>
          <w:rFonts w:ascii="Segoe UI" w:hAnsi="Segoe UI" w:cs="Segoe UI"/>
          <w:b/>
          <w:bCs/>
          <w:sz w:val="20"/>
          <w:szCs w:val="20"/>
        </w:rPr>
      </w:pPr>
      <w:r w:rsidRPr="005B1A7F">
        <w:rPr>
          <w:rFonts w:ascii="Segoe UI" w:hAnsi="Segoe UI" w:cs="Segoe UI"/>
          <w:sz w:val="20"/>
          <w:szCs w:val="20"/>
        </w:rPr>
        <w:t xml:space="preserve">The Editorial Board is responsible for the quality control of the tools and materials uploaded on Organic Farm Knowledge. It keeps the overview of the tools, identifies tools for the platform, prepares tool descriptions, translates tool descriptions and web pages of Organic Farm Knowledge, revises tools of other platforms, keeps the tools up-to-date and promotes Organic Farm Knowledge, particularly on a national level. </w:t>
      </w:r>
    </w:p>
    <w:p w:rsidR="4194ECFE" w:rsidP="4194ECFE" w:rsidRDefault="4194ECFE" w14:paraId="4194ECFE" w14:noSpellErr="1" w14:textId="4194ECFE">
      <w:pPr>
        <w:pStyle w:val="Normal"/>
        <w:spacing w:after="0"/>
        <w:jc w:val="both"/>
      </w:pPr>
    </w:p>
    <w:p w:rsidRPr="005B1A7F" w:rsidR="0032692D" w:rsidP="005B1A7F" w:rsidRDefault="0032692D" w14:paraId="1CC53442" w14:textId="77777777" w14:noSpellErr="1">
      <w:pPr>
        <w:jc w:val="both"/>
        <w:rPr>
          <w:rFonts w:ascii="Segoe UI" w:hAnsi="Segoe UI" w:cs="Segoe UI"/>
        </w:rPr>
      </w:pPr>
      <w:r w:rsidRPr="4194ECFE">
        <w:rPr>
          <w:rFonts w:ascii="Segoe UI" w:hAnsi="Segoe UI" w:eastAsia="Segoe UI" w:cs="Segoe UI"/>
          <w:sz w:val="20"/>
          <w:szCs w:val="20"/>
        </w:rPr>
        <w:t xml:space="preserve">As a pre-condition to joining the Editorial Board, the organisation agrees to an in-kind contribution of at least 0.5 PM/year. The logo of the organisation will be visible on the dedicated </w:t>
      </w:r>
      <w:hyperlink w:history="1" r:id="R121c9aa219614e37">
        <w:r w:rsidRPr="4194ECFE">
          <w:rPr>
            <w:rStyle w:val="Hyperlink"/>
            <w:rFonts w:ascii="Segoe UI" w:hAnsi="Segoe UI" w:eastAsia="Segoe UI" w:cs="Segoe UI"/>
            <w:color w:val="auto"/>
            <w:sz w:val="20"/>
            <w:szCs w:val="20"/>
          </w:rPr>
          <w:t>page for the Editorial Board</w:t>
        </w:r>
      </w:hyperlink>
      <w:r w:rsidRPr="4194ECFE">
        <w:rPr>
          <w:rFonts w:ascii="Segoe UI" w:hAnsi="Segoe UI" w:eastAsia="Segoe UI" w:cs="Segoe UI"/>
          <w:sz w:val="20"/>
          <w:szCs w:val="20"/>
        </w:rPr>
        <w:t xml:space="preserve"> on Organic Farm Knowledge.</w:t>
      </w:r>
    </w:p>
    <w:p w:rsidRPr="005B1A7F" w:rsidR="00743BD5" w:rsidP="005B1A7F" w:rsidRDefault="0032692D" w14:paraId="126A38E5" w14:textId="69F1C1AC" w14:noSpellErr="1">
      <w:pPr>
        <w:jc w:val="both"/>
        <w:rPr>
          <w:rFonts w:ascii="Segoe UI" w:hAnsi="Segoe UI" w:cs="Segoe UI"/>
        </w:rPr>
      </w:pPr>
      <w:r w:rsidRPr="4194ECFE">
        <w:rPr>
          <w:rFonts w:ascii="Segoe UI" w:hAnsi="Segoe UI" w:eastAsia="Segoe UI" w:cs="Segoe UI"/>
          <w:sz w:val="20"/>
          <w:szCs w:val="20"/>
        </w:rPr>
        <w:t>Should you wish to join our Editorial Board, please </w:t>
      </w:r>
      <w:hyperlink w:history="1" r:id="Rc2c959b1e3a24f0d">
        <w:r w:rsidRPr="4194ECFE">
          <w:rPr>
            <w:rStyle w:val="Hyperlink"/>
            <w:rFonts w:ascii="Segoe UI" w:hAnsi="Segoe UI" w:eastAsia="Segoe UI" w:cs="Segoe UI"/>
            <w:color w:val="auto"/>
            <w:sz w:val="20"/>
            <w:szCs w:val="20"/>
          </w:rPr>
          <w:t>fill in this form </w:t>
        </w:r>
      </w:hyperlink>
      <w:r w:rsidRPr="4194ECFE">
        <w:rPr>
          <w:rFonts w:ascii="Segoe UI" w:hAnsi="Segoe UI" w:eastAsia="Segoe UI" w:cs="Segoe UI"/>
          <w:sz w:val="20"/>
          <w:szCs w:val="20"/>
        </w:rPr>
        <w:t>and send it to </w:t>
      </w:r>
      <w:hyperlink w:history="1" r:id="rId9">
        <w:r w:rsidRPr="4194ECFE">
          <w:rPr>
            <w:rStyle w:val="Hyperlink"/>
            <w:rFonts w:ascii="Segoe UI" w:hAnsi="Segoe UI" w:eastAsia="Segoe UI" w:cs="Segoe UI"/>
            <w:color w:val="auto"/>
            <w:sz w:val="20"/>
            <w:szCs w:val="20"/>
          </w:rPr>
          <w:t>Bram Moeskops</w:t>
        </w:r>
      </w:hyperlink>
      <w:r w:rsidRPr="4194ECFE">
        <w:rPr>
          <w:rFonts w:ascii="Segoe UI" w:hAnsi="Segoe UI" w:eastAsia="Segoe UI" w:cs="Segoe UI"/>
          <w:sz w:val="20"/>
          <w:szCs w:val="20"/>
        </w:rPr>
        <w:t xml:space="preserve"> and </w:t>
      </w:r>
      <w:hyperlink w:history="1" r:id="Rb30a643ac96844ce">
        <w:r w:rsidRPr="4194ECFE">
          <w:rPr>
            <w:rStyle w:val="Hyperlink"/>
            <w:rFonts w:ascii="Segoe UI" w:hAnsi="Segoe UI" w:eastAsia="Segoe UI" w:cs="Segoe UI"/>
            <w:color w:val="auto"/>
            <w:sz w:val="20"/>
            <w:szCs w:val="20"/>
          </w:rPr>
          <w:t>Lauren Dietemann</w:t>
        </w:r>
      </w:hyperlink>
      <w:r w:rsidRPr="4194ECFE">
        <w:rPr>
          <w:rFonts w:ascii="Segoe UI" w:hAnsi="Segoe UI" w:eastAsia="Segoe UI" w:cs="Segoe UI"/>
          <w:sz w:val="20"/>
          <w:szCs w:val="20"/>
        </w:rPr>
        <w:t>.</w:t>
      </w:r>
    </w:p>
    <w:sectPr w:rsidRPr="005B1A7F" w:rsidR="00743BD5">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2346" w:rsidP="006228BC" w:rsidRDefault="00A22346" w14:paraId="63592B38" w14:textId="77777777">
      <w:pPr>
        <w:spacing w:after="0" w:line="240" w:lineRule="auto"/>
      </w:pPr>
      <w:r>
        <w:separator/>
      </w:r>
    </w:p>
  </w:endnote>
  <w:endnote w:type="continuationSeparator" w:id="0">
    <w:p w:rsidR="00A22346" w:rsidP="006228BC" w:rsidRDefault="00A22346" w14:paraId="094766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2346" w:rsidP="006228BC" w:rsidRDefault="00A22346" w14:paraId="681A2D50" w14:textId="77777777">
      <w:pPr>
        <w:spacing w:after="0" w:line="240" w:lineRule="auto"/>
      </w:pPr>
      <w:r>
        <w:separator/>
      </w:r>
    </w:p>
  </w:footnote>
  <w:footnote w:type="continuationSeparator" w:id="0">
    <w:p w:rsidR="00A22346" w:rsidP="006228BC" w:rsidRDefault="00A22346" w14:paraId="46327D6B" w14:textId="77777777">
      <w:pPr>
        <w:spacing w:after="0" w:line="240" w:lineRule="auto"/>
      </w:pPr>
      <w:r>
        <w:continuationSeparator/>
      </w:r>
    </w:p>
  </w:footnote>
  <w:footnote w:id="1">
    <w:p w:rsidRPr="005B1A7F" w:rsidR="006228BC" w:rsidP="006228BC" w:rsidRDefault="006228BC" w14:paraId="03F3DC16" w14:textId="77777777">
      <w:pPr>
        <w:spacing w:after="0"/>
        <w:textAlignment w:val="baseline"/>
        <w:rPr>
          <w:rFonts w:ascii="Segoe UI" w:hAnsi="Segoe UI" w:cs="Segoe UI"/>
          <w:sz w:val="18"/>
          <w:szCs w:val="18"/>
        </w:rPr>
      </w:pPr>
      <w:r w:rsidRPr="005B1A7F">
        <w:rPr>
          <w:rStyle w:val="FootnoteReference"/>
          <w:rFonts w:ascii="Segoe UI" w:hAnsi="Segoe UI" w:cs="Segoe UI"/>
          <w:sz w:val="18"/>
          <w:szCs w:val="18"/>
        </w:rPr>
        <w:footnoteRef/>
      </w:r>
      <w:r w:rsidRPr="005B1A7F">
        <w:rPr>
          <w:rFonts w:ascii="Segoe UI" w:hAnsi="Segoe UI" w:cs="Segoe UI"/>
          <w:sz w:val="18"/>
          <w:szCs w:val="18"/>
        </w:rPr>
        <w:t xml:space="preserve"> </w:t>
      </w:r>
      <w:r w:rsidRPr="005B1A7F">
        <w:rPr>
          <w:rFonts w:ascii="Segoe UI" w:hAnsi="Segoe UI" w:cs="Segoe UI" w:eastAsiaTheme="majorEastAsia"/>
          <w:sz w:val="18"/>
          <w:szCs w:val="18"/>
        </w:rPr>
        <w:t xml:space="preserve">European Commission (2020). Organics </w:t>
      </w:r>
      <w:proofErr w:type="gramStart"/>
      <w:r w:rsidRPr="005B1A7F">
        <w:rPr>
          <w:rFonts w:ascii="Segoe UI" w:hAnsi="Segoe UI" w:cs="Segoe UI" w:eastAsiaTheme="majorEastAsia"/>
          <w:sz w:val="18"/>
          <w:szCs w:val="18"/>
        </w:rPr>
        <w:t>at a glance</w:t>
      </w:r>
      <w:proofErr w:type="gramEnd"/>
      <w:r w:rsidRPr="005B1A7F">
        <w:rPr>
          <w:rFonts w:ascii="Segoe UI" w:hAnsi="Segoe UI" w:cs="Segoe UI" w:eastAsiaTheme="majorEastAsia"/>
          <w:sz w:val="18"/>
          <w:szCs w:val="18"/>
        </w:rPr>
        <w:t xml:space="preserve">. Available at </w:t>
      </w:r>
      <w:hyperlink w:tgtFrame="_blank" w:history="1" r:id="rId1">
        <w:r w:rsidRPr="005B1A7F">
          <w:rPr>
            <w:rStyle w:val="Hyperlink"/>
            <w:rFonts w:ascii="Segoe UI" w:hAnsi="Segoe UI" w:cs="Segoe UI"/>
            <w:sz w:val="18"/>
            <w:szCs w:val="18"/>
          </w:rPr>
          <w:t>https://ec.europa.eu/info/food-farming-fisheries_en</w:t>
        </w:r>
      </w:hyperlink>
    </w:p>
  </w:footnote>
  <w:footnote w:id="2">
    <w:p w:rsidRPr="005B1A7F" w:rsidR="006228BC" w:rsidP="006228BC" w:rsidRDefault="006228BC" w14:paraId="3D4EF609" w14:textId="77777777">
      <w:pPr>
        <w:pStyle w:val="FootnoteText"/>
        <w:rPr>
          <w:rFonts w:ascii="Segoe UI" w:hAnsi="Segoe UI" w:cs="Segoe UI"/>
          <w:sz w:val="18"/>
          <w:szCs w:val="18"/>
        </w:rPr>
      </w:pPr>
      <w:r w:rsidRPr="005B1A7F">
        <w:rPr>
          <w:rStyle w:val="FootnoteReference"/>
          <w:rFonts w:ascii="Segoe UI" w:hAnsi="Segoe UI" w:cs="Segoe UI"/>
          <w:sz w:val="18"/>
          <w:szCs w:val="18"/>
        </w:rPr>
        <w:footnoteRef/>
      </w:r>
      <w:r w:rsidRPr="005B1A7F">
        <w:rPr>
          <w:rFonts w:ascii="Segoe UI" w:hAnsi="Segoe UI" w:cs="Segoe UI"/>
          <w:sz w:val="18"/>
          <w:szCs w:val="18"/>
        </w:rPr>
        <w:t xml:space="preserve"> European Union (2020). Farm to Fork Strategy. For a fair, healthy and environmentally friendly food system. Available at </w:t>
      </w:r>
      <w:hyperlink w:history="1" r:id="rId2">
        <w:r w:rsidRPr="005B1A7F">
          <w:rPr>
            <w:rStyle w:val="Hyperlink"/>
            <w:rFonts w:ascii="Segoe UI" w:hAnsi="Segoe UI" w:cs="Segoe UI"/>
            <w:sz w:val="18"/>
            <w:szCs w:val="18"/>
          </w:rPr>
          <w:t>https://ec.europa.eu/food/sites/food/files/safety/docs/f2f_action-plan_2020_strategy-info_en.pdf</w:t>
        </w:r>
      </w:hyperlink>
    </w:p>
  </w:footnote>
  <w:footnote w:id="3">
    <w:p w:rsidRPr="005B1A7F" w:rsidR="006228BC" w:rsidP="006228BC" w:rsidRDefault="006228BC" w14:paraId="19417A09" w14:textId="77777777">
      <w:pPr>
        <w:pStyle w:val="FootnoteText"/>
        <w:rPr>
          <w:rFonts w:ascii="Segoe UI" w:hAnsi="Segoe UI" w:cs="Segoe UI"/>
          <w:sz w:val="18"/>
          <w:szCs w:val="18"/>
        </w:rPr>
      </w:pPr>
      <w:r w:rsidRPr="005B1A7F">
        <w:rPr>
          <w:rStyle w:val="FootnoteReference"/>
          <w:rFonts w:ascii="Segoe UI" w:hAnsi="Segoe UI" w:cs="Segoe UI"/>
          <w:sz w:val="18"/>
          <w:szCs w:val="18"/>
        </w:rPr>
        <w:footnoteRef/>
      </w:r>
      <w:r w:rsidRPr="005B1A7F">
        <w:rPr>
          <w:rFonts w:ascii="Segoe UI" w:hAnsi="Segoe UI" w:cs="Segoe UI"/>
          <w:sz w:val="18"/>
          <w:szCs w:val="18"/>
        </w:rPr>
        <w:t xml:space="preserve"> European Commission (2021). </w:t>
      </w:r>
      <w:hyperlink w:history="1" w:anchor="organicsintheeu" r:id="rId3">
        <w:r w:rsidRPr="005B1A7F">
          <w:rPr>
            <w:rStyle w:val="Hyperlink"/>
            <w:rFonts w:ascii="Segoe UI" w:hAnsi="Segoe UI" w:cs="Segoe UI"/>
            <w:sz w:val="18"/>
            <w:szCs w:val="18"/>
          </w:rPr>
          <w:t>Organic Action Plan</w:t>
        </w:r>
      </w:hyperlink>
      <w:r w:rsidRPr="005B1A7F">
        <w:rPr>
          <w:rFonts w:ascii="Segoe UI" w:hAnsi="Segoe UI" w:cs="Segoe UI"/>
          <w:sz w:val="18"/>
          <w:szCs w:val="18"/>
        </w:rPr>
        <w:t>.</w:t>
      </w:r>
    </w:p>
  </w:footnote>
  <w:footnote w:id="4">
    <w:p w:rsidR="006228BC" w:rsidP="006228BC" w:rsidRDefault="006228BC" w14:paraId="7FF358AC" w14:textId="77777777">
      <w:pPr>
        <w:pStyle w:val="FootnoteText"/>
      </w:pPr>
      <w:r w:rsidRPr="005B1A7F">
        <w:rPr>
          <w:rStyle w:val="FootnoteReference"/>
          <w:rFonts w:ascii="Segoe UI" w:hAnsi="Segoe UI" w:cs="Segoe UI"/>
          <w:sz w:val="18"/>
          <w:szCs w:val="18"/>
        </w:rPr>
        <w:footnoteRef/>
      </w:r>
      <w:r w:rsidRPr="005B1A7F">
        <w:rPr>
          <w:rFonts w:ascii="Segoe UI" w:hAnsi="Segoe UI" w:cs="Segoe UI"/>
          <w:sz w:val="18"/>
          <w:szCs w:val="18"/>
        </w:rPr>
        <w:t xml:space="preserve"> i.e., calls related to Intervention Area 3 ‘Agriculture, forestry and rural areas’ of Cluster 6 of Horizon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A254" w14:textId="50123504" w:rsidR="009B2429" w:rsidRDefault="009B2429">
    <w:pPr>
      <w:pStyle w:val="Header"/>
    </w:pPr>
    <w:r>
      <w:rPr>
        <w:noProof/>
      </w:rPr>
      <w:drawing>
        <wp:anchor distT="0" distB="0" distL="114300" distR="114300" simplePos="0" relativeHeight="251658240" behindDoc="1" locked="0" layoutInCell="1" allowOverlap="1" wp14:anchorId="33300A8B" wp14:editId="18C001AA">
          <wp:simplePos x="0" y="0"/>
          <wp:positionH relativeFrom="margin">
            <wp:posOffset>4791710</wp:posOffset>
          </wp:positionH>
          <wp:positionV relativeFrom="paragraph">
            <wp:posOffset>-125730</wp:posOffset>
          </wp:positionV>
          <wp:extent cx="1400810" cy="590550"/>
          <wp:effectExtent l="0" t="0" r="8890" b="0"/>
          <wp:wrapTight wrapText="bothSides">
            <wp:wrapPolygon edited="0">
              <wp:start x="0" y="0"/>
              <wp:lineTo x="0" y="20903"/>
              <wp:lineTo x="21443" y="20903"/>
              <wp:lineTo x="2144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BC"/>
    <w:rsid w:val="00056DDE"/>
    <w:rsid w:val="001C274F"/>
    <w:rsid w:val="003062F4"/>
    <w:rsid w:val="0032692D"/>
    <w:rsid w:val="00371E27"/>
    <w:rsid w:val="0046342C"/>
    <w:rsid w:val="004C5505"/>
    <w:rsid w:val="005871F4"/>
    <w:rsid w:val="005B1A7F"/>
    <w:rsid w:val="005F38A4"/>
    <w:rsid w:val="006228BC"/>
    <w:rsid w:val="006B48ED"/>
    <w:rsid w:val="00743BD5"/>
    <w:rsid w:val="007A3C19"/>
    <w:rsid w:val="007F5144"/>
    <w:rsid w:val="009B2429"/>
    <w:rsid w:val="009C2DAD"/>
    <w:rsid w:val="00A22346"/>
    <w:rsid w:val="00A5698C"/>
    <w:rsid w:val="00B93BC6"/>
    <w:rsid w:val="00CD34B8"/>
    <w:rsid w:val="00D732DD"/>
    <w:rsid w:val="00DC4ADD"/>
    <w:rsid w:val="00EF0C4F"/>
    <w:rsid w:val="4194ECF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E181A"/>
  <w15:chartTrackingRefBased/>
  <w15:docId w15:val="{0BBB1EF9-C002-4CC3-9458-88F8E7C4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28BC"/>
    <w:pPr>
      <w:spacing w:line="256" w:lineRule="auto"/>
    </w:pPr>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228BC"/>
    <w:rPr>
      <w:color w:val="0000FF"/>
      <w:u w:val="single"/>
    </w:rPr>
  </w:style>
  <w:style w:type="paragraph" w:styleId="FootnoteText">
    <w:name w:val="footnote text"/>
    <w:basedOn w:val="Normal"/>
    <w:link w:val="FootnoteTextChar"/>
    <w:uiPriority w:val="99"/>
    <w:semiHidden/>
    <w:unhideWhenUsed/>
    <w:rsid w:val="006228B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228BC"/>
    <w:rPr>
      <w:sz w:val="20"/>
      <w:szCs w:val="20"/>
      <w:lang w:val="en-GB"/>
    </w:rPr>
  </w:style>
  <w:style w:type="character" w:styleId="FootnoteReference">
    <w:name w:val="footnote reference"/>
    <w:aliases w:val="number,SUPERS,BVI fnr,Footnote,Footnote symbol,Char1 Char Char Char Char,Times 10 Point,Exposant 3 Point"/>
    <w:basedOn w:val="DefaultParagraphFont"/>
    <w:uiPriority w:val="99"/>
    <w:semiHidden/>
    <w:unhideWhenUsed/>
    <w:rsid w:val="006228BC"/>
    <w:rPr>
      <w:vertAlign w:val="superscript"/>
    </w:rPr>
  </w:style>
  <w:style w:type="character" w:styleId="FollowedHyperlink">
    <w:name w:val="FollowedHyperlink"/>
    <w:basedOn w:val="DefaultParagraphFont"/>
    <w:uiPriority w:val="99"/>
    <w:semiHidden/>
    <w:unhideWhenUsed/>
    <w:rsid w:val="0046342C"/>
    <w:rPr>
      <w:color w:val="954F72" w:themeColor="followedHyperlink"/>
      <w:u w:val="single"/>
    </w:rPr>
  </w:style>
  <w:style w:type="character" w:styleId="UnresolvedMention">
    <w:name w:val="Unresolved Mention"/>
    <w:basedOn w:val="DefaultParagraphFont"/>
    <w:uiPriority w:val="99"/>
    <w:semiHidden/>
    <w:unhideWhenUsed/>
    <w:rsid w:val="0046342C"/>
    <w:rPr>
      <w:color w:val="605E5C"/>
      <w:shd w:val="clear" w:color="auto" w:fill="E1DFDD"/>
    </w:rPr>
  </w:style>
  <w:style w:type="paragraph" w:styleId="Header">
    <w:name w:val="header"/>
    <w:basedOn w:val="Normal"/>
    <w:link w:val="HeaderChar"/>
    <w:uiPriority w:val="99"/>
    <w:unhideWhenUsed/>
    <w:rsid w:val="009B242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B2429"/>
    <w:rPr>
      <w:lang w:val="en-GB"/>
    </w:rPr>
  </w:style>
  <w:style w:type="paragraph" w:styleId="Footer">
    <w:name w:val="footer"/>
    <w:basedOn w:val="Normal"/>
    <w:link w:val="FooterChar"/>
    <w:uiPriority w:val="99"/>
    <w:unhideWhenUsed/>
    <w:rsid w:val="009B242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B24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yperlink" Target="https://organic-farmknowledge.org/" TargetMode="External" Id="rId6" /><Relationship Type="http://schemas.openxmlformats.org/officeDocument/2006/relationships/header" Target="header1.xml" Id="rId11" /><Relationship Type="http://schemas.openxmlformats.org/officeDocument/2006/relationships/endnotes" Target="endnotes.xml" Id="rId5" /><Relationship Type="http://schemas.openxmlformats.org/officeDocument/2006/relationships/customXml" Target="../customXml/item2.xml" Id="rId15" /><Relationship Type="http://schemas.openxmlformats.org/officeDocument/2006/relationships/footnotes" Target="footnotes.xml" Id="rId4" /><Relationship Type="http://schemas.openxmlformats.org/officeDocument/2006/relationships/hyperlink" Target="javascript:linkTo_UnCryptMailto(%27nbjmup%2Bcsbn%5C%2FnpftlpqtApshbojdtfvspqf%5C%2Fcjp%27);" TargetMode="External" Id="rId9" /><Relationship Type="http://schemas.openxmlformats.org/officeDocument/2006/relationships/customXml" Target="../customXml/item1.xml" Id="rId14" /><Relationship Type="http://schemas.openxmlformats.org/officeDocument/2006/relationships/hyperlink" Target="https://organic-farmknowledge.org/about/editorial-board" TargetMode="External" Id="R121c9aa219614e37" /><Relationship Type="http://schemas.openxmlformats.org/officeDocument/2006/relationships/hyperlink" Target="https://organic-farmknowledge.org/fileadmin/Medien/about/OrganicFarmKnowledge_Membership_Agreement_Editorial_Board.docx" TargetMode="External" Id="Rc2c959b1e3a24f0d" /><Relationship Type="http://schemas.openxmlformats.org/officeDocument/2006/relationships/hyperlink" Target="mailto:lauren.dietemann@fibl.org" TargetMode="External" Id="Rb30a643ac96844ce" /></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ood-farming-fisheries/farming/organic-farming/organic-action-plan_en?utm_campaign=5922d206a2a6d332b3003570&amp;utm_content=605c5ea9e4f2520001cb12e5&amp;utm_medium=smarpshare&amp;utm_source=twitter" TargetMode="External"/><Relationship Id="rId2" Type="http://schemas.openxmlformats.org/officeDocument/2006/relationships/hyperlink" Target="https://ec.europa.eu/food/sites/food/files/safety/docs/f2f_action-plan_2020_strategy-info_en.pdf" TargetMode="External"/><Relationship Id="rId1" Type="http://schemas.openxmlformats.org/officeDocument/2006/relationships/hyperlink" Target="https://ec.europa.eu/info/food-farming-fisherie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FCCCF42391A4691124A19188DFC4F" ma:contentTypeVersion="0" ma:contentTypeDescription="Create a new document." ma:contentTypeScope="" ma:versionID="30a26e71102610c599e30a80a40c64b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6EC09-D92A-4355-AEB3-BF8BAFAC321D}"/>
</file>

<file path=customXml/itemProps2.xml><?xml version="1.0" encoding="utf-8"?>
<ds:datastoreItem xmlns:ds="http://schemas.openxmlformats.org/officeDocument/2006/customXml" ds:itemID="{2BD11320-39C4-4878-8DA6-F6D062E968E1}"/>
</file>

<file path=customXml/itemProps3.xml><?xml version="1.0" encoding="utf-8"?>
<ds:datastoreItem xmlns:ds="http://schemas.openxmlformats.org/officeDocument/2006/customXml" ds:itemID="{89EA2592-A613-4884-B57F-8BBBDFA6C2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Ladinig</dc:creator>
  <keywords/>
  <dc:description/>
  <lastModifiedBy>Ladinig Maria</lastModifiedBy>
  <revision>8</revision>
  <dcterms:created xsi:type="dcterms:W3CDTF">2021-12-08T12:02:00.0000000Z</dcterms:created>
  <dcterms:modified xsi:type="dcterms:W3CDTF">2021-12-08T13:49:04.0550198Z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0x010100026FCCCF42391A4691124A19188DFC4F</vt:lpwstr>
  </property>
</Properties>
</file>